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2429FD7B" w14:textId="77777777" w:rsidR="007F08FB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C71FD9">
        <w:rPr>
          <w:rFonts w:asciiTheme="minorHAnsi" w:hAnsiTheme="minorHAnsi" w:cstheme="minorHAnsi"/>
          <w:b/>
          <w:sz w:val="36"/>
          <w:szCs w:val="22"/>
        </w:rPr>
        <w:t xml:space="preserve">DIAGNÓZY </w:t>
      </w:r>
    </w:p>
    <w:p w14:paraId="4779C87A" w14:textId="2D43FC12" w:rsidR="005C0731" w:rsidRDefault="00C71FD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V ZOZNAME ZDRAVOTNÝCH POSTIHNUTÍ</w:t>
      </w:r>
    </w:p>
    <w:p w14:paraId="2EF84933" w14:textId="32C58DBD" w:rsidR="00832696" w:rsidRDefault="00C71FD9" w:rsidP="00C71FD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8"/>
          <w:szCs w:val="18"/>
        </w:rPr>
      </w:pPr>
      <w:r w:rsidRPr="00C71FD9">
        <w:rPr>
          <w:rFonts w:asciiTheme="minorHAnsi" w:hAnsiTheme="minorHAnsi" w:cstheme="minorHAnsi"/>
          <w:bCs/>
          <w:sz w:val="28"/>
          <w:szCs w:val="18"/>
        </w:rPr>
        <w:t>v znení Prílohy č. 2 k zákonu č. 443/2010 Z.</w:t>
      </w:r>
      <w:r w:rsidR="00363CC8">
        <w:rPr>
          <w:rFonts w:asciiTheme="minorHAnsi" w:hAnsiTheme="minorHAnsi" w:cstheme="minorHAnsi"/>
          <w:bCs/>
          <w:sz w:val="28"/>
          <w:szCs w:val="18"/>
        </w:rPr>
        <w:t xml:space="preserve"> </w:t>
      </w:r>
      <w:r w:rsidRPr="00C71FD9">
        <w:rPr>
          <w:rFonts w:asciiTheme="minorHAnsi" w:hAnsiTheme="minorHAnsi" w:cstheme="minorHAnsi"/>
          <w:bCs/>
          <w:sz w:val="28"/>
          <w:szCs w:val="18"/>
        </w:rPr>
        <w:t>z.</w:t>
      </w:r>
    </w:p>
    <w:p w14:paraId="6BA34B80" w14:textId="77777777" w:rsidR="00C71FD9" w:rsidRPr="00C71FD9" w:rsidRDefault="00C71FD9" w:rsidP="00C4257D">
      <w:pPr>
        <w:pStyle w:val="Standard"/>
        <w:spacing w:after="240"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1464555D" w14:textId="77777777" w:rsidR="00F44AC2" w:rsidRPr="00E94FF6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4FF6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E94F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77777777" w:rsidR="00F44AC2" w:rsidRPr="00E94FF6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4FF6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E94FF6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E94FF6">
        <w:rPr>
          <w:rFonts w:asciiTheme="minorHAnsi" w:hAnsiTheme="minorHAnsi" w:cstheme="minorHAnsi"/>
          <w:sz w:val="22"/>
          <w:szCs w:val="22"/>
        </w:rPr>
        <w:tab/>
      </w:r>
      <w:r w:rsidRPr="00E94FF6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E94FF6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6C71A27D" w14:textId="77777777" w:rsidR="00F44AC2" w:rsidRPr="00220A5B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4FF6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E94F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7576AA" w14:textId="43ACFC79" w:rsidR="00F44AC2" w:rsidRDefault="00C71FD9" w:rsidP="00E14765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FD9">
        <w:rPr>
          <w:rFonts w:asciiTheme="minorHAnsi" w:hAnsiTheme="minorHAnsi" w:cstheme="minorHAnsi"/>
          <w:bCs/>
          <w:sz w:val="22"/>
          <w:szCs w:val="22"/>
        </w:rPr>
        <w:t>je občan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71FD9">
        <w:rPr>
          <w:rFonts w:asciiTheme="minorHAnsi" w:hAnsiTheme="minorHAnsi" w:cstheme="minorHAnsi"/>
          <w:bCs/>
          <w:sz w:val="22"/>
          <w:szCs w:val="22"/>
        </w:rPr>
        <w:t>ťažkým zdravotným postihnutím</w:t>
      </w:r>
      <w:r w:rsidR="00F44A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E5E81CD" w14:textId="798A925D" w:rsidR="00296E1E" w:rsidRPr="00F243E0" w:rsidRDefault="006B6091" w:rsidP="00E14765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43E0">
        <w:rPr>
          <w:rFonts w:asciiTheme="minorHAnsi" w:hAnsiTheme="minorHAnsi" w:cstheme="minorHAnsi"/>
          <w:bCs/>
          <w:sz w:val="22"/>
          <w:szCs w:val="22"/>
        </w:rPr>
        <w:t xml:space="preserve">* Označiť aktuálnu diagnózu. </w:t>
      </w:r>
    </w:p>
    <w:p w14:paraId="4F86F20C" w14:textId="6041FC9E" w:rsidR="00C71FD9" w:rsidRPr="00C71FD9" w:rsidRDefault="00C71FD9" w:rsidP="00F8343D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C71FD9">
        <w:rPr>
          <w:rFonts w:asciiTheme="minorHAnsi" w:hAnsiTheme="minorHAnsi" w:cstheme="minorHAnsi"/>
          <w:sz w:val="22"/>
          <w:szCs w:val="22"/>
        </w:rPr>
        <w:tab/>
        <w:t>Roztrúsená mozgovomiechová skleróza</w:t>
      </w:r>
    </w:p>
    <w:p w14:paraId="3E7A45BD" w14:textId="363F1483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a) stredne ťažká forma,</w:t>
      </w:r>
      <w:r w:rsidRPr="00C71FD9">
        <w:rPr>
          <w:rFonts w:asciiTheme="minorHAnsi" w:hAnsiTheme="minorHAnsi" w:cstheme="minorHAnsi"/>
          <w:sz w:val="22"/>
          <w:szCs w:val="22"/>
        </w:rPr>
        <w:tab/>
        <w:t>b) ťažká forma (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triparéza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a</w:t>
      </w:r>
      <w:r w:rsidR="00E1476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kvadruparéza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).</w:t>
      </w:r>
    </w:p>
    <w:p w14:paraId="73D23E78" w14:textId="6273E304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C71FD9">
        <w:rPr>
          <w:rFonts w:asciiTheme="minorHAnsi" w:hAnsiTheme="minorHAnsi" w:cstheme="minorHAnsi"/>
          <w:sz w:val="22"/>
          <w:szCs w:val="22"/>
        </w:rPr>
        <w:tab/>
        <w:t>Koordinačné poruchy a</w:t>
      </w:r>
      <w:r w:rsidR="00E14765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poruchy rovnováhy – ťažká forma (s</w:t>
      </w:r>
      <w:r w:rsidR="00E14765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nemožnosťou samostatného pohybu).</w:t>
      </w:r>
    </w:p>
    <w:p w14:paraId="63B3877D" w14:textId="3A794073" w:rsidR="00C71FD9" w:rsidRPr="00C71FD9" w:rsidRDefault="00C71FD9" w:rsidP="00F8343D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71FD9">
        <w:rPr>
          <w:rFonts w:asciiTheme="minorHAnsi" w:hAnsiTheme="minorHAnsi" w:cstheme="minorHAnsi"/>
          <w:sz w:val="22"/>
          <w:szCs w:val="22"/>
        </w:rPr>
        <w:tab/>
        <w:t>Čiastočné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úplné mozgové obrny (pyramídového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extrapyramídového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pôvodu)</w:t>
      </w:r>
    </w:p>
    <w:p w14:paraId="7961B706" w14:textId="4B7573BC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 xml:space="preserve">a)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hemiplégia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,</w:t>
      </w:r>
      <w:r w:rsidR="00E14765" w:rsidRPr="00C71FD9">
        <w:rPr>
          <w:rFonts w:asciiTheme="minorHAnsi" w:hAnsiTheme="minorHAnsi" w:cstheme="minorHAnsi"/>
          <w:sz w:val="22"/>
          <w:szCs w:val="22"/>
        </w:rPr>
        <w:tab/>
      </w:r>
      <w:r w:rsidR="00054F5E" w:rsidRPr="00C71FD9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="00054F5E" w:rsidRPr="00C71FD9">
        <w:rPr>
          <w:rFonts w:asciiTheme="minorHAnsi" w:hAnsiTheme="minorHAnsi" w:cstheme="minorHAnsi"/>
          <w:sz w:val="22"/>
          <w:szCs w:val="22"/>
        </w:rPr>
        <w:t>hemiparéza</w:t>
      </w:r>
      <w:proofErr w:type="spellEnd"/>
      <w:r w:rsidR="00054F5E" w:rsidRPr="00C71FD9">
        <w:rPr>
          <w:rFonts w:asciiTheme="minorHAnsi" w:hAnsiTheme="minorHAnsi" w:cstheme="minorHAnsi"/>
          <w:sz w:val="22"/>
          <w:szCs w:val="22"/>
        </w:rPr>
        <w:t xml:space="preserve"> ťažkého stupňa,</w:t>
      </w:r>
    </w:p>
    <w:p w14:paraId="7A285E08" w14:textId="77A4EEE5" w:rsid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b) paraplégia,</w:t>
      </w:r>
      <w:r w:rsidR="00E14765">
        <w:rPr>
          <w:rFonts w:asciiTheme="minorHAnsi" w:hAnsiTheme="minorHAnsi" w:cstheme="minorHAnsi"/>
          <w:sz w:val="22"/>
          <w:szCs w:val="22"/>
        </w:rPr>
        <w:tab/>
      </w:r>
      <w:r w:rsidR="00054F5E" w:rsidRPr="00C71FD9">
        <w:rPr>
          <w:rFonts w:asciiTheme="minorHAnsi" w:hAnsiTheme="minorHAnsi" w:cstheme="minorHAnsi"/>
          <w:sz w:val="22"/>
          <w:szCs w:val="22"/>
        </w:rPr>
        <w:t xml:space="preserve">e) </w:t>
      </w:r>
      <w:proofErr w:type="spellStart"/>
      <w:r w:rsidR="00054F5E" w:rsidRPr="00C71FD9">
        <w:rPr>
          <w:rFonts w:asciiTheme="minorHAnsi" w:hAnsiTheme="minorHAnsi" w:cstheme="minorHAnsi"/>
          <w:sz w:val="22"/>
          <w:szCs w:val="22"/>
        </w:rPr>
        <w:t>paraparéza</w:t>
      </w:r>
      <w:proofErr w:type="spellEnd"/>
      <w:r w:rsidR="00054F5E" w:rsidRPr="00C71FD9">
        <w:rPr>
          <w:rFonts w:asciiTheme="minorHAnsi" w:hAnsiTheme="minorHAnsi" w:cstheme="minorHAnsi"/>
          <w:sz w:val="22"/>
          <w:szCs w:val="22"/>
        </w:rPr>
        <w:t xml:space="preserve"> ťažkého stupňa,</w:t>
      </w:r>
    </w:p>
    <w:p w14:paraId="071F1E57" w14:textId="49280C9C" w:rsidR="00054F5E" w:rsidRPr="00C71FD9" w:rsidRDefault="00054F5E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kvadraplégia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 xml:space="preserve">f)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kvadraparéza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ťažkého stupňa.</w:t>
      </w:r>
    </w:p>
    <w:p w14:paraId="2C453FD8" w14:textId="0DFC3A0F" w:rsidR="00C71FD9" w:rsidRPr="00C71FD9" w:rsidRDefault="00C71FD9" w:rsidP="00F8343D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C71FD9">
        <w:rPr>
          <w:rFonts w:asciiTheme="minorHAnsi" w:hAnsiTheme="minorHAnsi" w:cstheme="minorHAnsi"/>
          <w:sz w:val="22"/>
          <w:szCs w:val="22"/>
        </w:rPr>
        <w:tab/>
        <w:t>Poškodenie miechy</w:t>
      </w:r>
    </w:p>
    <w:p w14:paraId="77AEFB63" w14:textId="1D50ABBA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 xml:space="preserve">a)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hemiplégia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,</w:t>
      </w:r>
      <w:r w:rsidR="00E14765">
        <w:rPr>
          <w:rFonts w:asciiTheme="minorHAnsi" w:hAnsiTheme="minorHAnsi" w:cstheme="minorHAnsi"/>
          <w:sz w:val="22"/>
          <w:szCs w:val="22"/>
        </w:rPr>
        <w:tab/>
      </w:r>
      <w:r w:rsidR="00054F5E" w:rsidRPr="00C71FD9"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="00054F5E" w:rsidRPr="00C71FD9">
        <w:rPr>
          <w:rFonts w:asciiTheme="minorHAnsi" w:hAnsiTheme="minorHAnsi" w:cstheme="minorHAnsi"/>
          <w:sz w:val="22"/>
          <w:szCs w:val="22"/>
        </w:rPr>
        <w:t>hemiparéza</w:t>
      </w:r>
      <w:proofErr w:type="spellEnd"/>
      <w:r w:rsidR="00054F5E" w:rsidRPr="00C71FD9">
        <w:rPr>
          <w:rFonts w:asciiTheme="minorHAnsi" w:hAnsiTheme="minorHAnsi" w:cstheme="minorHAnsi"/>
          <w:sz w:val="22"/>
          <w:szCs w:val="22"/>
        </w:rPr>
        <w:t xml:space="preserve"> ťažkého stupňa,</w:t>
      </w:r>
    </w:p>
    <w:p w14:paraId="7F3F1B7A" w14:textId="5DF1B8F0" w:rsid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b) paraplégia,</w:t>
      </w:r>
      <w:r w:rsidR="00E14765">
        <w:rPr>
          <w:rFonts w:asciiTheme="minorHAnsi" w:hAnsiTheme="minorHAnsi" w:cstheme="minorHAnsi"/>
          <w:sz w:val="22"/>
          <w:szCs w:val="22"/>
        </w:rPr>
        <w:tab/>
      </w:r>
      <w:r w:rsidR="00054F5E" w:rsidRPr="00C71FD9">
        <w:rPr>
          <w:rFonts w:asciiTheme="minorHAnsi" w:hAnsiTheme="minorHAnsi" w:cstheme="minorHAnsi"/>
          <w:sz w:val="22"/>
          <w:szCs w:val="22"/>
        </w:rPr>
        <w:t xml:space="preserve">e) </w:t>
      </w:r>
      <w:proofErr w:type="spellStart"/>
      <w:r w:rsidR="00054F5E" w:rsidRPr="00C71FD9">
        <w:rPr>
          <w:rFonts w:asciiTheme="minorHAnsi" w:hAnsiTheme="minorHAnsi" w:cstheme="minorHAnsi"/>
          <w:sz w:val="22"/>
          <w:szCs w:val="22"/>
        </w:rPr>
        <w:t>paraparéza</w:t>
      </w:r>
      <w:proofErr w:type="spellEnd"/>
      <w:r w:rsidR="00054F5E" w:rsidRPr="00C71FD9">
        <w:rPr>
          <w:rFonts w:asciiTheme="minorHAnsi" w:hAnsiTheme="minorHAnsi" w:cstheme="minorHAnsi"/>
          <w:sz w:val="22"/>
          <w:szCs w:val="22"/>
        </w:rPr>
        <w:t xml:space="preserve"> ťažkého stupňa,</w:t>
      </w:r>
    </w:p>
    <w:p w14:paraId="4F9175F9" w14:textId="3AD8BE8F" w:rsidR="00054F5E" w:rsidRPr="00C71FD9" w:rsidRDefault="00054F5E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kvadraplégia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 xml:space="preserve">f)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kvadraparéza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ťažkého stupňa.</w:t>
      </w:r>
    </w:p>
    <w:p w14:paraId="522CF4F1" w14:textId="1886CCE0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C71FD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Spondylartritída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ankylozujúca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Bechterevova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choroba </w:t>
      </w:r>
      <w:r w:rsidR="000A55FA">
        <w:rPr>
          <w:rFonts w:asciiTheme="minorHAnsi" w:hAnsiTheme="minorHAnsi" w:cstheme="minorHAnsi"/>
          <w:sz w:val="22"/>
          <w:szCs w:val="22"/>
        </w:rPr>
        <w:t>–</w:t>
      </w:r>
      <w:r w:rsidRPr="00C71FD9">
        <w:rPr>
          <w:rFonts w:asciiTheme="minorHAnsi" w:hAnsiTheme="minorHAnsi" w:cstheme="minorHAnsi"/>
          <w:sz w:val="22"/>
          <w:szCs w:val="22"/>
        </w:rPr>
        <w:t xml:space="preserve"> ťažký</w:t>
      </w:r>
      <w:r w:rsidR="000A55FA">
        <w:rPr>
          <w:rFonts w:asciiTheme="minorHAnsi" w:hAnsiTheme="minorHAnsi" w:cstheme="minorHAnsi"/>
          <w:sz w:val="22"/>
          <w:szCs w:val="22"/>
        </w:rPr>
        <w:t xml:space="preserve"> </w:t>
      </w:r>
      <w:r w:rsidRPr="00C71FD9">
        <w:rPr>
          <w:rFonts w:asciiTheme="minorHAnsi" w:hAnsiTheme="minorHAnsi" w:cstheme="minorHAnsi"/>
          <w:sz w:val="22"/>
          <w:szCs w:val="22"/>
        </w:rPr>
        <w:t>stupeň postihnutia chrbtice s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ankylózou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bedrových kĺbov.</w:t>
      </w:r>
    </w:p>
    <w:p w14:paraId="21BDAB0D" w14:textId="464515FB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55FA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C71FD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Myopatie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kongenitálne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, progresívne svalové dystrofie (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Duchenneov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Beckerov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typ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pod.), zápalové</w:t>
      </w:r>
      <w:r w:rsidR="00E1476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myozitídy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polyomyozitídy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pod., metabolické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endokrinologické</w:t>
      </w:r>
    </w:p>
    <w:p w14:paraId="3A84D58A" w14:textId="7643DB35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a) stredná forma s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výrazným obmedzením hybnosti,</w:t>
      </w:r>
      <w:r w:rsidRPr="00C71FD9">
        <w:rPr>
          <w:rFonts w:asciiTheme="minorHAnsi" w:hAnsiTheme="minorHAnsi" w:cstheme="minorHAnsi"/>
          <w:sz w:val="22"/>
          <w:szCs w:val="22"/>
        </w:rPr>
        <w:tab/>
        <w:t>b) ťažká forma (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imobilita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>).</w:t>
      </w:r>
    </w:p>
    <w:p w14:paraId="1500DEEF" w14:textId="64C0EDE8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C71FD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Myasténia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gravis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1FD9">
        <w:rPr>
          <w:rFonts w:asciiTheme="minorHAnsi" w:hAnsiTheme="minorHAnsi" w:cstheme="minorHAnsi"/>
          <w:sz w:val="22"/>
          <w:szCs w:val="22"/>
        </w:rPr>
        <w:t>myastenický</w:t>
      </w:r>
      <w:proofErr w:type="spellEnd"/>
      <w:r w:rsidRPr="00C71FD9">
        <w:rPr>
          <w:rFonts w:asciiTheme="minorHAnsi" w:hAnsiTheme="minorHAnsi" w:cstheme="minorHAnsi"/>
          <w:sz w:val="22"/>
          <w:szCs w:val="22"/>
        </w:rPr>
        <w:t xml:space="preserve"> syndróm – ťažké formy s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výrazným obmedzením hybnosti.</w:t>
      </w:r>
    </w:p>
    <w:p w14:paraId="5D753B75" w14:textId="05DFBC7E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71FD9">
        <w:rPr>
          <w:rFonts w:asciiTheme="minorHAnsi" w:hAnsiTheme="minorHAnsi" w:cstheme="minorHAnsi"/>
          <w:sz w:val="22"/>
          <w:szCs w:val="22"/>
        </w:rPr>
        <w:tab/>
        <w:t>Úplná strata jednej hornej končatiny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jednej dolnej končatiny.</w:t>
      </w:r>
    </w:p>
    <w:p w14:paraId="72E7E365" w14:textId="78153E60" w:rsidR="00296E1E" w:rsidRPr="00C71FD9" w:rsidRDefault="00C71FD9" w:rsidP="00F8343D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lastRenderedPageBreak/>
        <w:t>9.</w:t>
      </w:r>
      <w:r w:rsidRPr="00C71FD9">
        <w:rPr>
          <w:rFonts w:asciiTheme="minorHAnsi" w:hAnsiTheme="minorHAnsi" w:cstheme="minorHAnsi"/>
          <w:sz w:val="22"/>
          <w:szCs w:val="22"/>
        </w:rPr>
        <w:tab/>
        <w:t>Strata oboch dolných končatín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stehne.</w:t>
      </w:r>
    </w:p>
    <w:p w14:paraId="6C7D554A" w14:textId="5FE2ADF1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Pr="00C71FD9">
        <w:rPr>
          <w:rFonts w:asciiTheme="minorHAnsi" w:hAnsiTheme="minorHAnsi" w:cstheme="minorHAnsi"/>
          <w:sz w:val="22"/>
          <w:szCs w:val="22"/>
        </w:rPr>
        <w:tab/>
        <w:t>Strata jednej dolnej končatiny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stehne a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jednej dolnej končatiny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predkolení s</w:t>
      </w:r>
      <w:r w:rsidR="00E14765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krátkymi</w:t>
      </w:r>
      <w:r w:rsidR="00E14765">
        <w:rPr>
          <w:rFonts w:asciiTheme="minorHAnsi" w:hAnsiTheme="minorHAnsi" w:cstheme="minorHAnsi"/>
          <w:sz w:val="22"/>
          <w:szCs w:val="22"/>
        </w:rPr>
        <w:t xml:space="preserve"> </w:t>
      </w:r>
      <w:r w:rsidRPr="00C71FD9">
        <w:rPr>
          <w:rFonts w:asciiTheme="minorHAnsi" w:hAnsiTheme="minorHAnsi" w:cstheme="minorHAnsi"/>
          <w:sz w:val="22"/>
          <w:szCs w:val="22"/>
        </w:rPr>
        <w:t>amputačnými kýpťami s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výrazne zníženou funkciou amputovaného kýpťa.</w:t>
      </w:r>
    </w:p>
    <w:p w14:paraId="1F3DF5B1" w14:textId="7CFB3EC1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Pr="00C71FD9">
        <w:rPr>
          <w:rFonts w:asciiTheme="minorHAnsi" w:hAnsiTheme="minorHAnsi" w:cstheme="minorHAnsi"/>
          <w:sz w:val="22"/>
          <w:szCs w:val="22"/>
        </w:rPr>
        <w:tab/>
        <w:t>Strata jednej dolnej končatiny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bedrovom kĺbe alebo s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veľmi krátkym amputačným kýpťom.</w:t>
      </w:r>
    </w:p>
    <w:p w14:paraId="270739E1" w14:textId="3739B9E5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Pr="00C71FD9">
        <w:rPr>
          <w:rFonts w:asciiTheme="minorHAnsi" w:hAnsiTheme="minorHAnsi" w:cstheme="minorHAnsi"/>
          <w:sz w:val="22"/>
          <w:szCs w:val="22"/>
        </w:rPr>
        <w:tab/>
        <w:t>Strata jednej dolnej končatiny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stehne</w:t>
      </w:r>
      <w:bookmarkStart w:id="0" w:name="_GoBack"/>
      <w:bookmarkEnd w:id="0"/>
      <w:r w:rsidRPr="00C71FD9">
        <w:rPr>
          <w:rFonts w:asciiTheme="minorHAnsi" w:hAnsiTheme="minorHAnsi" w:cstheme="minorHAnsi"/>
          <w:sz w:val="22"/>
          <w:szCs w:val="22"/>
        </w:rPr>
        <w:t xml:space="preserve"> po kolenný kĺb.</w:t>
      </w:r>
    </w:p>
    <w:p w14:paraId="5B443784" w14:textId="13487509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13.</w:t>
      </w:r>
      <w:r w:rsidRPr="00C71FD9">
        <w:rPr>
          <w:rFonts w:asciiTheme="minorHAnsi" w:hAnsiTheme="minorHAnsi" w:cstheme="minorHAnsi"/>
          <w:sz w:val="22"/>
          <w:szCs w:val="22"/>
        </w:rPr>
        <w:tab/>
        <w:t>Strata oboch dolných končatín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predkolení.</w:t>
      </w:r>
    </w:p>
    <w:p w14:paraId="6312A76E" w14:textId="131E0FA0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14.</w:t>
      </w:r>
      <w:r w:rsidRPr="00C71FD9">
        <w:rPr>
          <w:rFonts w:asciiTheme="minorHAnsi" w:hAnsiTheme="minorHAnsi" w:cstheme="minorHAnsi"/>
          <w:sz w:val="22"/>
          <w:szCs w:val="22"/>
        </w:rPr>
        <w:tab/>
        <w:t>Stuhnutie oboch bedrových kĺbov</w:t>
      </w:r>
    </w:p>
    <w:p w14:paraId="7AB743BB" w14:textId="09F3D42D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a)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priaznivom postavení,</w:t>
      </w:r>
      <w:r w:rsidR="00E14765"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>b)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nepriaznivom postavení.</w:t>
      </w:r>
    </w:p>
    <w:p w14:paraId="63AE605B" w14:textId="524304FB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15.</w:t>
      </w:r>
      <w:r w:rsidRPr="00C71FD9">
        <w:rPr>
          <w:rFonts w:asciiTheme="minorHAnsi" w:hAnsiTheme="minorHAnsi" w:cstheme="minorHAnsi"/>
          <w:sz w:val="22"/>
          <w:szCs w:val="22"/>
        </w:rPr>
        <w:tab/>
        <w:t>Stuhnutie jedného bedrového kĺbu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nepriaznivom postavení.</w:t>
      </w:r>
    </w:p>
    <w:p w14:paraId="33B373FA" w14:textId="4E0DE2E7" w:rsidR="00C71FD9" w:rsidRPr="00C71FD9" w:rsidRDefault="00C71FD9" w:rsidP="00054F5E">
      <w:pPr>
        <w:pStyle w:val="Standard"/>
        <w:tabs>
          <w:tab w:val="left" w:pos="426"/>
          <w:tab w:val="left" w:pos="5387"/>
          <w:tab w:val="left" w:pos="6237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D280E">
        <w:rPr>
          <w:rFonts w:asciiTheme="minorHAnsi" w:hAnsiTheme="minorHAnsi" w:cstheme="minorHAnsi"/>
          <w:b/>
          <w:bCs/>
          <w:sz w:val="22"/>
          <w:szCs w:val="22"/>
        </w:rPr>
        <w:t>16.</w:t>
      </w:r>
      <w:r w:rsidRPr="00C71FD9">
        <w:rPr>
          <w:rFonts w:asciiTheme="minorHAnsi" w:hAnsiTheme="minorHAnsi" w:cstheme="minorHAnsi"/>
          <w:sz w:val="22"/>
          <w:szCs w:val="22"/>
        </w:rPr>
        <w:tab/>
        <w:t>Stuhnutie oboch kolenných kĺbov</w:t>
      </w:r>
    </w:p>
    <w:p w14:paraId="072D668C" w14:textId="5EEDE25F" w:rsidR="00053523" w:rsidRDefault="00C71FD9" w:rsidP="00054F5E">
      <w:pPr>
        <w:pStyle w:val="Standard"/>
        <w:tabs>
          <w:tab w:val="left" w:pos="426"/>
          <w:tab w:val="left" w:pos="5387"/>
          <w:tab w:val="left" w:pos="6237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1FD9">
        <w:rPr>
          <w:rFonts w:asciiTheme="minorHAnsi" w:hAnsiTheme="minorHAnsi" w:cstheme="minorHAnsi"/>
          <w:sz w:val="22"/>
          <w:szCs w:val="22"/>
        </w:rPr>
        <w:tab/>
        <w:t>a)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priaznivom postavení,</w:t>
      </w:r>
      <w:r w:rsidR="00E14765">
        <w:rPr>
          <w:rFonts w:asciiTheme="minorHAnsi" w:hAnsiTheme="minorHAnsi" w:cstheme="minorHAnsi"/>
          <w:sz w:val="22"/>
          <w:szCs w:val="22"/>
        </w:rPr>
        <w:tab/>
      </w:r>
      <w:r w:rsidRPr="00C71FD9">
        <w:rPr>
          <w:rFonts w:asciiTheme="minorHAnsi" w:hAnsiTheme="minorHAnsi" w:cstheme="minorHAnsi"/>
          <w:sz w:val="22"/>
          <w:szCs w:val="22"/>
        </w:rPr>
        <w:t>b) v</w:t>
      </w:r>
      <w:r w:rsidR="000A55FA">
        <w:rPr>
          <w:rFonts w:asciiTheme="minorHAnsi" w:hAnsiTheme="minorHAnsi" w:cstheme="minorHAnsi"/>
          <w:sz w:val="22"/>
          <w:szCs w:val="22"/>
        </w:rPr>
        <w:t> </w:t>
      </w:r>
      <w:r w:rsidRPr="00C71FD9">
        <w:rPr>
          <w:rFonts w:asciiTheme="minorHAnsi" w:hAnsiTheme="minorHAnsi" w:cstheme="minorHAnsi"/>
          <w:sz w:val="22"/>
          <w:szCs w:val="22"/>
        </w:rPr>
        <w:t>nepriaznivom postavení.</w:t>
      </w:r>
    </w:p>
    <w:p w14:paraId="1966CE20" w14:textId="7D68325C" w:rsidR="00C71FD9" w:rsidRDefault="00C71FD9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160F2BA" w14:textId="79EE2156" w:rsidR="00296E1E" w:rsidRDefault="00296E1E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81CF49" w14:textId="77777777" w:rsidR="007F08FB" w:rsidRDefault="007F08FB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6206EF12" w:rsidR="00053523" w:rsidRDefault="00053523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0E6BAB" w14:textId="77777777" w:rsidR="00F8343D" w:rsidRPr="00AB2A9F" w:rsidRDefault="00F8343D" w:rsidP="00E1476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E1476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0907CE13" w:rsidR="00053523" w:rsidRDefault="00053523" w:rsidP="00E14765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 w:rsidR="00C71FD9">
        <w:rPr>
          <w:rFonts w:asciiTheme="minorHAnsi" w:hAnsiTheme="minorHAnsi" w:cstheme="minorHAnsi"/>
          <w:sz w:val="22"/>
          <w:szCs w:val="22"/>
        </w:rPr>
        <w:t>a podpis ošetrujúceho lekára</w:t>
      </w:r>
    </w:p>
    <w:p w14:paraId="34BFFA14" w14:textId="4F9CB49F" w:rsidR="00053523" w:rsidRDefault="00053523" w:rsidP="00E14765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CA13EC" w14:textId="77777777" w:rsidR="00296E1E" w:rsidRDefault="00296E1E" w:rsidP="00E14765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9ECEEF" w14:textId="77777777" w:rsidR="00A65FF5" w:rsidRDefault="00A65FF5" w:rsidP="00E14765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98F72A" w14:textId="127174E9" w:rsidR="007F08FB" w:rsidRDefault="00C71FD9" w:rsidP="00E14765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FD9">
        <w:rPr>
          <w:rFonts w:asciiTheme="minorHAnsi" w:hAnsiTheme="minorHAnsi" w:cstheme="minorHAnsi"/>
          <w:b/>
          <w:sz w:val="22"/>
          <w:szCs w:val="22"/>
        </w:rPr>
        <w:t>Poznámka:</w:t>
      </w:r>
      <w:r w:rsidRPr="00C71F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752F119" w14:textId="71FA04D9" w:rsidR="00053523" w:rsidRPr="00460413" w:rsidRDefault="00C71FD9" w:rsidP="00E14765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FD9">
        <w:rPr>
          <w:rFonts w:asciiTheme="minorHAnsi" w:hAnsiTheme="minorHAnsi" w:cstheme="minorHAnsi"/>
          <w:bCs/>
          <w:sz w:val="22"/>
          <w:szCs w:val="22"/>
        </w:rPr>
        <w:t>Potvrdenie slúži pre účely posúdenia žiadosti fyzickej osoby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71FD9">
        <w:rPr>
          <w:rFonts w:asciiTheme="minorHAnsi" w:hAnsiTheme="minorHAnsi" w:cstheme="minorHAnsi"/>
          <w:bCs/>
          <w:sz w:val="22"/>
          <w:szCs w:val="22"/>
        </w:rPr>
        <w:t>prenájom nájomného bezbariérového bytu postaveného s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71FD9">
        <w:rPr>
          <w:rFonts w:asciiTheme="minorHAnsi" w:hAnsiTheme="minorHAnsi" w:cstheme="minorHAnsi"/>
          <w:bCs/>
          <w:sz w:val="22"/>
          <w:szCs w:val="22"/>
        </w:rPr>
        <w:t>podporou Štátneho fondu rozvoja bývania.</w:t>
      </w:r>
    </w:p>
    <w:sectPr w:rsidR="00053523" w:rsidRPr="00460413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28B4" w14:textId="77777777" w:rsidR="00336BDC" w:rsidRDefault="00336BDC" w:rsidP="001C59EB">
      <w:r>
        <w:separator/>
      </w:r>
    </w:p>
  </w:endnote>
  <w:endnote w:type="continuationSeparator" w:id="0">
    <w:p w14:paraId="7CAFFC71" w14:textId="77777777" w:rsidR="00336BDC" w:rsidRDefault="00336BD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2FD983B" w14:textId="605A0F48" w:rsidR="00A65FF5" w:rsidRDefault="00AE7A21" w:rsidP="00A65FF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A65FF5" w:rsidRPr="00C50479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C08A70E" w:rsidR="00AE7A21" w:rsidRPr="00A65FF5" w:rsidRDefault="00AE7A21" w:rsidP="00A65FF5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2FD983B" w14:textId="605A0F48" w:rsidR="00A65FF5" w:rsidRDefault="00AE7A21" w:rsidP="00A65FF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A65FF5" w:rsidRPr="00C50479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C08A70E" w:rsidR="00AE7A21" w:rsidRPr="00A65FF5" w:rsidRDefault="00AE7A21" w:rsidP="00A65FF5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3029" w14:textId="77777777" w:rsidR="00336BDC" w:rsidRDefault="00336BDC" w:rsidP="001C59EB">
      <w:r>
        <w:separator/>
      </w:r>
    </w:p>
  </w:footnote>
  <w:footnote w:type="continuationSeparator" w:id="0">
    <w:p w14:paraId="76238612" w14:textId="77777777" w:rsidR="00336BDC" w:rsidRDefault="00336BD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68F1" w14:textId="3ED20438" w:rsidR="00B707F5" w:rsidRDefault="00B707F5" w:rsidP="00B707F5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>
      <w:rPr>
        <w:b/>
        <w:bCs/>
      </w:rPr>
      <w:t xml:space="preserve"> č. </w:t>
    </w:r>
    <w:r w:rsidR="00C71FD9">
      <w:rPr>
        <w:b/>
        <w:bCs/>
      </w:rPr>
      <w:t>3</w:t>
    </w:r>
  </w:p>
  <w:bookmarkEnd w:id="1"/>
  <w:p w14:paraId="66D6C682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588A44B6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4B7AF201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>postaveného s</w:t>
    </w:r>
    <w:r>
      <w:rPr>
        <w:sz w:val="18"/>
        <w:szCs w:val="18"/>
      </w:rPr>
      <w:t> </w:t>
    </w:r>
    <w:r w:rsidRPr="00864322">
      <w:rPr>
        <w:sz w:val="18"/>
        <w:szCs w:val="18"/>
      </w:rPr>
      <w:t xml:space="preserve">podporou </w:t>
    </w:r>
  </w:p>
  <w:p w14:paraId="46A2DBD1" w14:textId="77777777" w:rsidR="00B707F5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 xml:space="preserve">Štátneho fondu </w:t>
    </w:r>
  </w:p>
  <w:p w14:paraId="66FD47C0" w14:textId="6D3B6FFD" w:rsidR="005B51C2" w:rsidRDefault="00B707F5" w:rsidP="00B707F5">
    <w:pPr>
      <w:pStyle w:val="Hlavika"/>
      <w:jc w:val="right"/>
      <w:rPr>
        <w:sz w:val="18"/>
        <w:szCs w:val="18"/>
      </w:rPr>
    </w:pPr>
    <w:r w:rsidRPr="00864322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3523"/>
    <w:rsid w:val="000541B7"/>
    <w:rsid w:val="00054F5E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930F4"/>
    <w:rsid w:val="00093A9C"/>
    <w:rsid w:val="000A55FA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542C2"/>
    <w:rsid w:val="00273853"/>
    <w:rsid w:val="0027387D"/>
    <w:rsid w:val="00283F6C"/>
    <w:rsid w:val="00294127"/>
    <w:rsid w:val="00296E1E"/>
    <w:rsid w:val="002B357A"/>
    <w:rsid w:val="002B6E5B"/>
    <w:rsid w:val="002D280E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6BDC"/>
    <w:rsid w:val="003376C0"/>
    <w:rsid w:val="00342C04"/>
    <w:rsid w:val="00343F62"/>
    <w:rsid w:val="00344E91"/>
    <w:rsid w:val="0034653F"/>
    <w:rsid w:val="00351FFB"/>
    <w:rsid w:val="00353246"/>
    <w:rsid w:val="00356D25"/>
    <w:rsid w:val="00363CC8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3B3A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1666F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94F05"/>
    <w:rsid w:val="006A1075"/>
    <w:rsid w:val="006A5046"/>
    <w:rsid w:val="006A51D6"/>
    <w:rsid w:val="006B1F0F"/>
    <w:rsid w:val="006B264E"/>
    <w:rsid w:val="006B6091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08FB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B3ACF"/>
    <w:rsid w:val="008C2AC9"/>
    <w:rsid w:val="008C3FF6"/>
    <w:rsid w:val="008C55B3"/>
    <w:rsid w:val="008D22A3"/>
    <w:rsid w:val="008D66AE"/>
    <w:rsid w:val="008D7C82"/>
    <w:rsid w:val="008E0BC8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5FF5"/>
    <w:rsid w:val="00A6613F"/>
    <w:rsid w:val="00A66222"/>
    <w:rsid w:val="00A668F2"/>
    <w:rsid w:val="00A833FF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07F5"/>
    <w:rsid w:val="00B72BC3"/>
    <w:rsid w:val="00B7409E"/>
    <w:rsid w:val="00B76EF6"/>
    <w:rsid w:val="00B7727E"/>
    <w:rsid w:val="00B8358C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257D"/>
    <w:rsid w:val="00C601BF"/>
    <w:rsid w:val="00C65937"/>
    <w:rsid w:val="00C7136D"/>
    <w:rsid w:val="00C71FD9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66E0F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14765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4336"/>
    <w:rsid w:val="00E5614E"/>
    <w:rsid w:val="00E56B31"/>
    <w:rsid w:val="00E622E8"/>
    <w:rsid w:val="00E63DA2"/>
    <w:rsid w:val="00E71F2A"/>
    <w:rsid w:val="00E7304F"/>
    <w:rsid w:val="00E82045"/>
    <w:rsid w:val="00E94FF6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43E0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8343D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6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AC8F-D0C7-41D3-B733-886E9261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16</cp:revision>
  <cp:lastPrinted>2020-01-27T12:20:00Z</cp:lastPrinted>
  <dcterms:created xsi:type="dcterms:W3CDTF">2019-10-25T18:14:00Z</dcterms:created>
  <dcterms:modified xsi:type="dcterms:W3CDTF">2020-01-27T12:28:00Z</dcterms:modified>
</cp:coreProperties>
</file>